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1E48DD8D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211414">
        <w:rPr>
          <w:rFonts w:asciiTheme="minorHAnsi" w:hAnsiTheme="minorHAnsi"/>
        </w:rPr>
        <w:t>auf: Zitieren in der Popmusik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77777777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77777777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77777777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4C251D57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396CF91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3C3B4" w14:textId="77777777" w:rsidR="007773CF" w:rsidRPr="00097CF2" w:rsidRDefault="007773CF" w:rsidP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00BF379F" w14:textId="77777777" w:rsidR="00F86884" w:rsidRDefault="00F86884" w:rsidP="00F86884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>Stunde 1</w:t>
      </w:r>
      <w:r>
        <w:rPr>
          <w:rFonts w:cstheme="minorHAnsi"/>
          <w:b/>
          <w:i w:val="0"/>
          <w:sz w:val="28"/>
        </w:rPr>
        <w:t xml:space="preserve"> – Zitieren in der Popmusik</w:t>
      </w:r>
    </w:p>
    <w:p w14:paraId="42C5927F" w14:textId="77777777" w:rsidR="00F86884" w:rsidRDefault="00F86884" w:rsidP="00F86884">
      <w:pPr>
        <w:pStyle w:val="StandardWeb"/>
        <w:spacing w:before="0" w:beforeAutospacing="0" w:after="60" w:afterAutospacing="0"/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Die Schüler*innen …</w:t>
      </w:r>
    </w:p>
    <w:p w14:paraId="3091F3C5" w14:textId="77777777" w:rsidR="00F86884" w:rsidRPr="00603C8E" w:rsidRDefault="00F86884" w:rsidP="00F86884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vergleichen verschiedene Produktionspraxen aktueller Musikproduktionen anhand mehrerer Hörbeispiele,</w:t>
      </w:r>
    </w:p>
    <w:p w14:paraId="6A41A581" w14:textId="77777777" w:rsidR="00F86884" w:rsidRPr="00603C8E" w:rsidRDefault="00F86884" w:rsidP="00F86884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unterscheiden Cover, Sample und Interpolation,</w:t>
      </w:r>
    </w:p>
    <w:p w14:paraId="73773701" w14:textId="77777777" w:rsidR="00F86884" w:rsidRPr="00603C8E" w:rsidRDefault="00F86884" w:rsidP="00F86884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 xml:space="preserve">beschreiben </w:t>
      </w:r>
      <w:r>
        <w:rPr>
          <w:rFonts w:asciiTheme="minorHAnsi" w:hAnsiTheme="minorHAnsi"/>
          <w:color w:val="000000"/>
        </w:rPr>
        <w:t>Möglichkeiten, in welcher Form interpoliert werden kann,</w:t>
      </w:r>
    </w:p>
    <w:p w14:paraId="3F8605D8" w14:textId="77777777" w:rsidR="00F86884" w:rsidRPr="00603C8E" w:rsidRDefault="00F86884" w:rsidP="00F86884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benennen grundlegende rechtliche Unterschiede zwischen Sample und Interpolation.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603"/>
        <w:gridCol w:w="5768"/>
        <w:gridCol w:w="2121"/>
      </w:tblGrid>
      <w:tr w:rsidR="00F86884" w:rsidRPr="00816330" w14:paraId="75CC16C0" w14:textId="77777777" w:rsidTr="004C440F">
        <w:tc>
          <w:tcPr>
            <w:tcW w:w="1603" w:type="dxa"/>
          </w:tcPr>
          <w:p w14:paraId="139AF947" w14:textId="77777777" w:rsidR="00F86884" w:rsidRPr="00816330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768" w:type="dxa"/>
          </w:tcPr>
          <w:p w14:paraId="3B59C90C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121" w:type="dxa"/>
          </w:tcPr>
          <w:p w14:paraId="7E82AA4C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F86884" w:rsidRPr="00816330" w14:paraId="53E491C0" w14:textId="77777777" w:rsidTr="004C440F">
        <w:tc>
          <w:tcPr>
            <w:tcW w:w="1603" w:type="dxa"/>
          </w:tcPr>
          <w:p w14:paraId="3191A83B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768" w:type="dxa"/>
          </w:tcPr>
          <w:p w14:paraId="3BEFA93D" w14:textId="77777777" w:rsidR="00F86884" w:rsidRDefault="00F86884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Quiz – Cover, Sample oder Interpolation?</w:t>
            </w:r>
          </w:p>
          <w:p w14:paraId="743C5FC6" w14:textId="77777777" w:rsidR="00F86884" w:rsidRPr="00345424" w:rsidRDefault="00F86884" w:rsidP="00F86884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iCs w:val="0"/>
                <w:color w:val="000000"/>
                <w:sz w:val="24"/>
                <w:szCs w:val="24"/>
              </w:rPr>
              <w:t>Die zwei oder drei Songs eines jeden Beispiels sollen miteinander verglichen und die Ergebnisse in Aufgabe 1 auf dem Arbeitsblatt notiert werden. Danach werden die Ergebnisse im Plenum besprochen.</w:t>
            </w:r>
          </w:p>
        </w:tc>
        <w:tc>
          <w:tcPr>
            <w:tcW w:w="2121" w:type="dxa"/>
          </w:tcPr>
          <w:p w14:paraId="4B332E3C" w14:textId="77777777" w:rsidR="00F86884" w:rsidRDefault="00F86884" w:rsidP="004C440F">
            <w:pPr>
              <w:autoSpaceDE w:val="0"/>
              <w:autoSpaceDN w:val="0"/>
              <w:adjustRightInd w:val="0"/>
              <w:spacing w:before="120" w:after="120" w:line="240" w:lineRule="auto"/>
            </w:pPr>
            <w:r w:rsidRPr="009F5324">
              <w:rPr>
                <w:i w:val="0"/>
                <w:iCs w:val="0"/>
                <w:sz w:val="24"/>
                <w:szCs w:val="24"/>
              </w:rPr>
              <w:t xml:space="preserve">Website: </w:t>
            </w:r>
            <w:hyperlink r:id="rId14" w:history="1">
              <w:r w:rsidRPr="009F53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</w:t>
              </w:r>
              <w:r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1 </w:t>
              </w:r>
            </w:hyperlink>
          </w:p>
          <w:p w14:paraId="05817EA7" w14:textId="77777777" w:rsidR="00F86884" w:rsidRPr="00816330" w:rsidRDefault="00F86884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rbeitsblätter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Zitieren in der Popmusik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F86884" w:rsidRPr="00816330" w14:paraId="4EF7FC97" w14:textId="77777777" w:rsidTr="004C440F">
        <w:tc>
          <w:tcPr>
            <w:tcW w:w="1603" w:type="dxa"/>
          </w:tcPr>
          <w:p w14:paraId="02B85EBA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768" w:type="dxa"/>
          </w:tcPr>
          <w:p w14:paraId="7616AF3A" w14:textId="77777777" w:rsidR="00F86884" w:rsidRDefault="00F86884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EE4524">
              <w:rPr>
                <w:rFonts w:cstheme="minorHAnsi"/>
                <w:i w:val="0"/>
                <w:color w:val="000000"/>
                <w:sz w:val="24"/>
                <w:szCs w:val="24"/>
              </w:rPr>
              <w:t>Erarbeitung der Fachbegriffe: Cover, Sample, Interpolation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Möglichkeiten der Interpolation</w:t>
            </w:r>
          </w:p>
          <w:p w14:paraId="5F4D43F9" w14:textId="77777777" w:rsidR="00F86884" w:rsidRDefault="00F86884" w:rsidP="00F8688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Die Ergebnisse aus Aufgabe 1 sollen in Aufgabe 2 zusammengefasst werden und eigene Definitionen für drei Arten, wie Musik aus anderen Songs übernommen oder verändert werden kann, formuliert werden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.</w:t>
            </w:r>
          </w:p>
          <w:p w14:paraId="32359A9F" w14:textId="77777777" w:rsidR="00F86884" w:rsidRPr="00345424" w:rsidRDefault="00F86884" w:rsidP="00F8688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Aufgabe 3 bezieht sich auf die Frage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, w</w:t>
            </w: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elche Teile eines Songs interpoliert werden können.</w:t>
            </w:r>
          </w:p>
        </w:tc>
        <w:tc>
          <w:tcPr>
            <w:tcW w:w="2121" w:type="dxa"/>
          </w:tcPr>
          <w:p w14:paraId="4D79A692" w14:textId="77777777" w:rsidR="00F86884" w:rsidRPr="00816330" w:rsidRDefault="00F86884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rbeitsblätter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Zitieren in der Popmusik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F86884" w:rsidRPr="00816330" w14:paraId="78DC9CE2" w14:textId="77777777" w:rsidTr="004C440F">
        <w:tc>
          <w:tcPr>
            <w:tcW w:w="1603" w:type="dxa"/>
          </w:tcPr>
          <w:p w14:paraId="1AA2069F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</w:t>
            </w:r>
          </w:p>
        </w:tc>
        <w:tc>
          <w:tcPr>
            <w:tcW w:w="5768" w:type="dxa"/>
          </w:tcPr>
          <w:p w14:paraId="54E4CC77" w14:textId="77777777" w:rsidR="00F86884" w:rsidRDefault="00F86884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Besprechung der Ergebnisse des Arbeitsblattes </w:t>
            </w:r>
          </w:p>
          <w:p w14:paraId="6884CEBD" w14:textId="77777777" w:rsidR="00F86884" w:rsidRDefault="00F86884" w:rsidP="00F8688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Definition: Cover – Sample – Interpolation</w:t>
            </w:r>
          </w:p>
          <w:p w14:paraId="49FC1CE0" w14:textId="77777777" w:rsidR="00F86884" w:rsidRPr="00345424" w:rsidRDefault="00F86884" w:rsidP="00F8688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Sammlung von Möglichkeiten für eine Interpolation</w:t>
            </w:r>
          </w:p>
        </w:tc>
        <w:tc>
          <w:tcPr>
            <w:tcW w:w="2121" w:type="dxa"/>
          </w:tcPr>
          <w:p w14:paraId="67EC8CA6" w14:textId="77777777" w:rsidR="00F86884" w:rsidRPr="00816330" w:rsidRDefault="00F86884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Gespräch im Plenum</w:t>
            </w:r>
          </w:p>
        </w:tc>
      </w:tr>
      <w:tr w:rsidR="00F86884" w:rsidRPr="00816330" w14:paraId="7BDB6749" w14:textId="77777777" w:rsidTr="004C440F">
        <w:tc>
          <w:tcPr>
            <w:tcW w:w="1603" w:type="dxa"/>
          </w:tcPr>
          <w:p w14:paraId="427B8F79" w14:textId="77777777" w:rsidR="00F86884" w:rsidRPr="009F5324" w:rsidRDefault="00F86884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Vertiefung</w:t>
            </w:r>
          </w:p>
        </w:tc>
        <w:tc>
          <w:tcPr>
            <w:tcW w:w="5768" w:type="dxa"/>
          </w:tcPr>
          <w:p w14:paraId="193BFB16" w14:textId="77777777" w:rsidR="00F86884" w:rsidRDefault="00F86884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Interpolation versus Sample</w:t>
            </w:r>
          </w:p>
          <w:p w14:paraId="2D1C4493" w14:textId="77777777" w:rsidR="00F86884" w:rsidRPr="00345424" w:rsidRDefault="00F86884" w:rsidP="00F86884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Gemeinsam </w:t>
            </w:r>
            <w:r w:rsidRPr="00345424">
              <w:rPr>
                <w:i w:val="0"/>
                <w:sz w:val="24"/>
                <w:szCs w:val="24"/>
              </w:rPr>
              <w:t>besprechen (evtl. mehrmals dazwischen stoppen und zusammenfassen lassen)</w:t>
            </w:r>
          </w:p>
          <w:p w14:paraId="307F7D1E" w14:textId="77777777" w:rsidR="00F86884" w:rsidRPr="00F42A82" w:rsidRDefault="00F86884" w:rsidP="00F86884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Unterschiede (2:33 min.)</w:t>
            </w:r>
          </w:p>
          <w:p w14:paraId="25EFA6D7" w14:textId="77777777" w:rsidR="00F86884" w:rsidRDefault="00F86884" w:rsidP="00F86884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Interpolation günstiger als Sampling (8:11 min.)</w:t>
            </w:r>
          </w:p>
          <w:p w14:paraId="75E04FC2" w14:textId="77777777" w:rsidR="00F86884" w:rsidRPr="00F42A82" w:rsidRDefault="00F86884" w:rsidP="00F86884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Rechte:</w:t>
            </w:r>
          </w:p>
          <w:p w14:paraId="3960B485" w14:textId="77777777" w:rsidR="00F86884" w:rsidRPr="00F42A82" w:rsidRDefault="00F86884" w:rsidP="00F86884">
            <w:pPr>
              <w:pStyle w:val="Listenabsatz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13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Sample: Copyright von Komposition UND Aufnahme (Recording)</w:t>
            </w:r>
          </w:p>
          <w:p w14:paraId="4DFA337F" w14:textId="77777777" w:rsidR="00F86884" w:rsidRPr="001B6CA8" w:rsidRDefault="00F86884" w:rsidP="00F86884">
            <w:pPr>
              <w:pStyle w:val="Listenabsatz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960" w:line="240" w:lineRule="auto"/>
              <w:ind w:left="113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Interpolation: Copyright von Komposition</w:t>
            </w:r>
          </w:p>
          <w:p w14:paraId="12967F88" w14:textId="77777777" w:rsidR="00F86884" w:rsidRDefault="00F86884" w:rsidP="004C440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Kurzeinführung in das anstehende Projekt</w:t>
            </w:r>
          </w:p>
          <w:p w14:paraId="32A74991" w14:textId="77777777" w:rsidR="00F86884" w:rsidRDefault="00F86884" w:rsidP="00F8688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Die Schüler*innen gestalten jeweils allein oder zu zweit einen 16- bis 32-taktigen Song zu einem in der Klasse gewählten Thema.</w:t>
            </w:r>
          </w:p>
          <w:p w14:paraId="56BE0C40" w14:textId="77777777" w:rsidR="00F86884" w:rsidRDefault="00F86884" w:rsidP="00F8688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Dabei nutzen sie die Produktionspraxis der Interpolation.</w:t>
            </w:r>
          </w:p>
          <w:p w14:paraId="53E8E584" w14:textId="77777777" w:rsidR="00F86884" w:rsidRPr="001B6CA8" w:rsidRDefault="00F86884" w:rsidP="00F8688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Zudem wird die Bedeutung eines respektvollen Umgangs mit bereits vorhandenem musikalischem Material hervorgehoben und ein Ausblick auf die Thematik der folgenden Stunde gegeben.</w:t>
            </w:r>
          </w:p>
        </w:tc>
        <w:tc>
          <w:tcPr>
            <w:tcW w:w="2121" w:type="dxa"/>
          </w:tcPr>
          <w:p w14:paraId="28B9D2DE" w14:textId="77777777" w:rsidR="00F86884" w:rsidRPr="00816330" w:rsidRDefault="00F86884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Video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hyperlink r:id="rId15" w:history="1"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13 Songs </w:t>
              </w:r>
              <w:proofErr w:type="spellStart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that</w:t>
              </w:r>
              <w:proofErr w:type="spellEnd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Interpolate</w:t>
              </w:r>
              <w:proofErr w:type="spellEnd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other</w:t>
              </w:r>
              <w:proofErr w:type="spellEnd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songs</w:t>
              </w:r>
              <w:proofErr w:type="spellEnd"/>
              <w:r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| David Bennett</w:t>
              </w:r>
            </w:hyperlink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(Englisch)</w:t>
            </w:r>
          </w:p>
        </w:tc>
      </w:tr>
    </w:tbl>
    <w:p w14:paraId="2B8E64EE" w14:textId="35416579" w:rsidR="00345424" w:rsidRDefault="00345424" w:rsidP="00F86884">
      <w:pPr>
        <w:spacing w:after="60"/>
        <w:rPr>
          <w:rFonts w:cstheme="minorHAnsi"/>
          <w:b/>
          <w:i w:val="0"/>
          <w:sz w:val="28"/>
        </w:rPr>
      </w:pPr>
    </w:p>
    <w:sectPr w:rsidR="00345424" w:rsidSect="006C2F9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292" w14:textId="77777777" w:rsidR="00335650" w:rsidRDefault="00335650" w:rsidP="000F4C8B">
      <w:pPr>
        <w:spacing w:after="0" w:line="240" w:lineRule="auto"/>
      </w:pPr>
      <w:r>
        <w:separator/>
      </w:r>
    </w:p>
  </w:endnote>
  <w:endnote w:type="continuationSeparator" w:id="0">
    <w:p w14:paraId="44C266C7" w14:textId="77777777" w:rsidR="00335650" w:rsidRDefault="00335650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6F642E27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81C6" w14:textId="77777777" w:rsidR="00335650" w:rsidRDefault="00335650" w:rsidP="000F4C8B">
      <w:pPr>
        <w:spacing w:after="0" w:line="240" w:lineRule="auto"/>
      </w:pPr>
      <w:r>
        <w:separator/>
      </w:r>
    </w:p>
  </w:footnote>
  <w:footnote w:type="continuationSeparator" w:id="0">
    <w:p w14:paraId="307BC38C" w14:textId="77777777" w:rsidR="00335650" w:rsidRDefault="00335650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3501C2B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2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84AE1"/>
    <w:multiLevelType w:val="hybridMultilevel"/>
    <w:tmpl w:val="C5E0A7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8"/>
  </w:num>
  <w:num w:numId="2" w16cid:durableId="1565994870">
    <w:abstractNumId w:val="1"/>
  </w:num>
  <w:num w:numId="3" w16cid:durableId="2006930141">
    <w:abstractNumId w:val="4"/>
  </w:num>
  <w:num w:numId="4" w16cid:durableId="110713532">
    <w:abstractNumId w:val="7"/>
  </w:num>
  <w:num w:numId="5" w16cid:durableId="590503581">
    <w:abstractNumId w:val="0"/>
  </w:num>
  <w:num w:numId="6" w16cid:durableId="726149268">
    <w:abstractNumId w:val="11"/>
  </w:num>
  <w:num w:numId="7" w16cid:durableId="285428628">
    <w:abstractNumId w:val="6"/>
  </w:num>
  <w:num w:numId="8" w16cid:durableId="1811432836">
    <w:abstractNumId w:val="5"/>
  </w:num>
  <w:num w:numId="9" w16cid:durableId="926378638">
    <w:abstractNumId w:val="3"/>
  </w:num>
  <w:num w:numId="10" w16cid:durableId="786310603">
    <w:abstractNumId w:val="2"/>
  </w:num>
  <w:num w:numId="11" w16cid:durableId="1220479008">
    <w:abstractNumId w:val="10"/>
  </w:num>
  <w:num w:numId="12" w16cid:durableId="544879284">
    <w:abstractNumId w:val="12"/>
  </w:num>
  <w:num w:numId="13" w16cid:durableId="909071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D30CA"/>
    <w:rsid w:val="000F4C8B"/>
    <w:rsid w:val="00121AA9"/>
    <w:rsid w:val="00133EE7"/>
    <w:rsid w:val="00143A7D"/>
    <w:rsid w:val="00177564"/>
    <w:rsid w:val="001907CE"/>
    <w:rsid w:val="001B25B0"/>
    <w:rsid w:val="00211414"/>
    <w:rsid w:val="00291D5A"/>
    <w:rsid w:val="002D07E6"/>
    <w:rsid w:val="002E5369"/>
    <w:rsid w:val="00335650"/>
    <w:rsid w:val="00345424"/>
    <w:rsid w:val="00367FD4"/>
    <w:rsid w:val="003F176A"/>
    <w:rsid w:val="003F4F0D"/>
    <w:rsid w:val="00400910"/>
    <w:rsid w:val="004B49AA"/>
    <w:rsid w:val="004C4737"/>
    <w:rsid w:val="00513988"/>
    <w:rsid w:val="005203C8"/>
    <w:rsid w:val="005249AA"/>
    <w:rsid w:val="00594FAD"/>
    <w:rsid w:val="005A593D"/>
    <w:rsid w:val="00603C8E"/>
    <w:rsid w:val="00652625"/>
    <w:rsid w:val="00665EF4"/>
    <w:rsid w:val="0069540B"/>
    <w:rsid w:val="00696EBA"/>
    <w:rsid w:val="006B64F1"/>
    <w:rsid w:val="006C2F9B"/>
    <w:rsid w:val="006D146A"/>
    <w:rsid w:val="00712965"/>
    <w:rsid w:val="007404F8"/>
    <w:rsid w:val="007773CF"/>
    <w:rsid w:val="00797986"/>
    <w:rsid w:val="007F387F"/>
    <w:rsid w:val="00816330"/>
    <w:rsid w:val="008A27EE"/>
    <w:rsid w:val="008C6D12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E2014"/>
    <w:rsid w:val="00AE7903"/>
    <w:rsid w:val="00AF1B03"/>
    <w:rsid w:val="00AF1DF5"/>
    <w:rsid w:val="00B600EC"/>
    <w:rsid w:val="00B9661C"/>
    <w:rsid w:val="00BC3B59"/>
    <w:rsid w:val="00BE37F3"/>
    <w:rsid w:val="00C37221"/>
    <w:rsid w:val="00CF03E5"/>
    <w:rsid w:val="00CF37BC"/>
    <w:rsid w:val="00D23CAF"/>
    <w:rsid w:val="00D45B95"/>
    <w:rsid w:val="00E21A3E"/>
    <w:rsid w:val="00E361E2"/>
    <w:rsid w:val="00E51ED6"/>
    <w:rsid w:val="00EA0ED9"/>
    <w:rsid w:val="00EE1531"/>
    <w:rsid w:val="00EE4524"/>
    <w:rsid w:val="00F16A95"/>
    <w:rsid w:val="00F413CE"/>
    <w:rsid w:val="00F42A82"/>
    <w:rsid w:val="00F64622"/>
    <w:rsid w:val="00F734E3"/>
    <w:rsid w:val="00F82EAC"/>
    <w:rsid w:val="00F86884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6dVJtLFZpA" TargetMode="Externa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yperlink" Target="https://interpolation.web.leuphana.de/fortbildung/modul-1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5</cp:revision>
  <dcterms:created xsi:type="dcterms:W3CDTF">2026-02-20T11:49:00Z</dcterms:created>
  <dcterms:modified xsi:type="dcterms:W3CDTF">2026-02-21T16:27:00Z</dcterms:modified>
</cp:coreProperties>
</file>